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0E86A" w14:textId="77777777" w:rsidR="00FC1322" w:rsidRPr="00E9627E" w:rsidRDefault="006961E3" w:rsidP="00FA4FE0">
      <w:pPr>
        <w:spacing w:after="480"/>
        <w:ind w:left="-720" w:firstLine="720"/>
        <w:jc w:val="center"/>
        <w:rPr>
          <w:lang w:val="sr-Cyrl-RS"/>
        </w:rPr>
      </w:pPr>
      <w:r w:rsidRPr="00E9627E">
        <w:rPr>
          <w:lang w:val="sr-Cyrl-RS"/>
        </w:rPr>
        <w:t>О Б Р А З Л О Ж Е Њ Е</w:t>
      </w:r>
    </w:p>
    <w:p w14:paraId="576127DD" w14:textId="77777777" w:rsidR="006961E3" w:rsidRPr="00E9627E" w:rsidRDefault="006961E3" w:rsidP="00FA4FE0">
      <w:pPr>
        <w:spacing w:after="120"/>
        <w:rPr>
          <w:bCs/>
          <w:lang w:val="sr-Cyrl-RS"/>
        </w:rPr>
      </w:pPr>
      <w:r w:rsidRPr="00E9627E">
        <w:rPr>
          <w:bCs/>
          <w:lang w:val="sr-Cyrl-RS"/>
        </w:rPr>
        <w:t xml:space="preserve"> </w:t>
      </w:r>
      <w:r w:rsidRPr="00E9627E">
        <w:rPr>
          <w:bCs/>
          <w:lang w:val="sr-Cyrl-RS"/>
        </w:rPr>
        <w:tab/>
        <w:t>I. УСТАВНИ ОСНОВ ЗА ДОНОШЕЊЕ ЗАКОНА</w:t>
      </w:r>
    </w:p>
    <w:p w14:paraId="45431EB4" w14:textId="77777777" w:rsidR="006961E3" w:rsidRPr="00E9627E" w:rsidRDefault="006961E3" w:rsidP="00FA4FE0">
      <w:pPr>
        <w:spacing w:after="360"/>
        <w:jc w:val="both"/>
        <w:rPr>
          <w:lang w:val="sr-Cyrl-RS"/>
        </w:rPr>
      </w:pPr>
      <w:r w:rsidRPr="00E9627E">
        <w:rPr>
          <w:lang w:val="sr-Cyrl-RS"/>
        </w:rPr>
        <w:t xml:space="preserve"> </w:t>
      </w:r>
      <w:r w:rsidRPr="00E9627E">
        <w:rPr>
          <w:lang w:val="sr-Cyrl-RS"/>
        </w:rPr>
        <w:tab/>
      </w:r>
      <w:r w:rsidR="0040226C" w:rsidRPr="00E9627E">
        <w:rPr>
          <w:lang w:val="sr-Cyrl-RS"/>
        </w:rPr>
        <w:t>Уставни основ за доношење овог закона садржан је у одредби члана 9</w:t>
      </w:r>
      <w:r w:rsidR="003C4052" w:rsidRPr="00E9627E">
        <w:rPr>
          <w:lang w:val="sr-Cyrl-RS"/>
        </w:rPr>
        <w:t>3</w:t>
      </w:r>
      <w:r w:rsidR="0040226C" w:rsidRPr="00E9627E">
        <w:rPr>
          <w:lang w:val="sr-Cyrl-RS"/>
        </w:rPr>
        <w:t xml:space="preserve">. став 1. Устава Републике Србије, којом је прописано да </w:t>
      </w:r>
      <w:r w:rsidR="003C4052" w:rsidRPr="00E9627E">
        <w:rPr>
          <w:lang w:val="sr-Cyrl-RS"/>
        </w:rPr>
        <w:t>Република Србија, аутономне покрајине и јединице локалне самоуправе могу да се задужују</w:t>
      </w:r>
      <w:r w:rsidR="00AE55C5" w:rsidRPr="00E9627E">
        <w:rPr>
          <w:lang w:val="sr-Cyrl-RS"/>
        </w:rPr>
        <w:t>, као и члана 97. тачка 15. Устава Републике Србије, према којој Република Србија уређује и обезбеђује финансирање остваривања права и дужности Републике Србије, утврђених Уставом и законом.</w:t>
      </w:r>
    </w:p>
    <w:p w14:paraId="3AFDBBED" w14:textId="38AE728A" w:rsidR="006961E3" w:rsidRPr="00E9627E" w:rsidRDefault="006961E3" w:rsidP="00505903">
      <w:pPr>
        <w:spacing w:after="120"/>
        <w:ind w:firstLine="720"/>
        <w:jc w:val="both"/>
        <w:rPr>
          <w:lang w:val="sr-Cyrl-RS"/>
        </w:rPr>
      </w:pPr>
      <w:r w:rsidRPr="00E9627E">
        <w:rPr>
          <w:bCs/>
          <w:lang w:val="sr-Cyrl-RS"/>
        </w:rPr>
        <w:t xml:space="preserve">II. РАЗЛОЗИ ЗА </w:t>
      </w:r>
      <w:r w:rsidR="0069359B" w:rsidRPr="00E9627E">
        <w:rPr>
          <w:bCs/>
          <w:lang w:val="sr-Cyrl-RS"/>
        </w:rPr>
        <w:t>ПОТВРЂИВАЊЕ</w:t>
      </w:r>
      <w:r w:rsidR="00505903" w:rsidRPr="00E9627E">
        <w:rPr>
          <w:lang w:val="sr-Cyrl-RS"/>
        </w:rPr>
        <w:t xml:space="preserve"> УГОВОРА</w:t>
      </w:r>
    </w:p>
    <w:p w14:paraId="331F5973" w14:textId="0651E4EC" w:rsidR="00E80D89" w:rsidRPr="00E9627E" w:rsidRDefault="00E80D89" w:rsidP="00321414">
      <w:pPr>
        <w:ind w:firstLine="708"/>
        <w:jc w:val="both"/>
        <w:rPr>
          <w:noProof/>
          <w:lang w:val="sr-Cyrl-RS"/>
        </w:rPr>
      </w:pPr>
      <w:r w:rsidRPr="00E9627E">
        <w:rPr>
          <w:lang w:val="sr-Cyrl-RS"/>
        </w:rPr>
        <w:t xml:space="preserve">Разлози за доношење </w:t>
      </w:r>
      <w:r w:rsidR="00790C88">
        <w:rPr>
          <w:lang w:val="sr-Cyrl-RS"/>
        </w:rPr>
        <w:t>овог з</w:t>
      </w:r>
      <w:r w:rsidRPr="00E9627E">
        <w:rPr>
          <w:lang w:val="sr-Cyrl-RS"/>
        </w:rPr>
        <w:t xml:space="preserve">акона о </w:t>
      </w:r>
      <w:r w:rsidR="00574BA1" w:rsidRPr="00E9627E">
        <w:rPr>
          <w:lang w:val="sr-Cyrl-RS"/>
        </w:rPr>
        <w:t xml:space="preserve">потврђивању </w:t>
      </w:r>
      <w:r w:rsidR="001549B9" w:rsidRPr="00E9627E">
        <w:rPr>
          <w:lang w:val="sr-Cyrl-RS"/>
        </w:rPr>
        <w:t xml:space="preserve">Уговора о </w:t>
      </w:r>
      <w:r w:rsidR="0044672B" w:rsidRPr="00E9627E">
        <w:rPr>
          <w:rFonts w:eastAsia="SimSun"/>
          <w:lang w:val="sr-Cyrl-RS" w:eastAsia="zh-CN"/>
        </w:rPr>
        <w:t>кредитном аранжману бр. 0020022188  који се односи на необезбеђени зајам до износа од 260.000.000 евра уз гаранцију UKEF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Појате-Прељина (Моравски коридор) између Републике Србије, коју заступа Влада Републике Србије, поступајући преко Министарства финансија, као Зајмопримца и J.P. Morgan SE, као Агентa и JPMorgan Chase Bank, N.A., London Branch, као Првобитног овлашћеног водећег аранжера и Crédit Agricole Corporate and Investment Bank и Ing Bank N.V.</w:t>
      </w:r>
      <w:r w:rsidR="00505903" w:rsidRPr="00E9627E">
        <w:rPr>
          <w:rFonts w:eastAsia="SimSun"/>
          <w:lang w:val="sr-Cyrl-RS" w:eastAsia="zh-CN"/>
        </w:rPr>
        <w:t>,</w:t>
      </w:r>
      <w:r w:rsidR="0044672B" w:rsidRPr="00E9627E">
        <w:rPr>
          <w:rFonts w:eastAsia="SimSun"/>
          <w:lang w:val="sr-Cyrl-RS" w:eastAsia="zh-CN"/>
        </w:rPr>
        <w:t xml:space="preserve"> као овлашћен</w:t>
      </w:r>
      <w:r w:rsidR="004771BB" w:rsidRPr="00E9627E">
        <w:rPr>
          <w:rFonts w:eastAsia="SimSun"/>
          <w:lang w:val="sr-Cyrl-RS" w:eastAsia="zh-CN"/>
        </w:rPr>
        <w:t>их</w:t>
      </w:r>
      <w:r w:rsidR="0044672B" w:rsidRPr="00E9627E">
        <w:rPr>
          <w:rFonts w:eastAsia="SimSun"/>
          <w:lang w:val="sr-Cyrl-RS" w:eastAsia="zh-CN"/>
        </w:rPr>
        <w:t xml:space="preserve"> водећ</w:t>
      </w:r>
      <w:r w:rsidR="004771BB" w:rsidRPr="00E9627E">
        <w:rPr>
          <w:rFonts w:eastAsia="SimSun"/>
          <w:lang w:val="sr-Cyrl-RS" w:eastAsia="zh-CN"/>
        </w:rPr>
        <w:t>их</w:t>
      </w:r>
      <w:r w:rsidR="0044672B" w:rsidRPr="00E9627E">
        <w:rPr>
          <w:rFonts w:eastAsia="SimSun"/>
          <w:lang w:val="sr-Cyrl-RS" w:eastAsia="zh-CN"/>
        </w:rPr>
        <w:t xml:space="preserve"> аранжера и Одређених других финансијских институција, као Првобитних зајмодаваца, који је потписан у Београду 27. октобра 2025. године</w:t>
      </w:r>
      <w:r w:rsidR="00BA558F" w:rsidRPr="00E9627E">
        <w:rPr>
          <w:lang w:val="sr-Cyrl-RS"/>
        </w:rPr>
        <w:t>,</w:t>
      </w:r>
      <w:r w:rsidRPr="00E9627E">
        <w:rPr>
          <w:lang w:val="sr-Cyrl-RS"/>
        </w:rPr>
        <w:t xml:space="preserve"> садржани су у одредби члана 5. став 2. Закона о јавном дугу („Службени гласник РС”, бр. </w:t>
      </w:r>
      <w:r w:rsidR="00574BA1" w:rsidRPr="00E9627E">
        <w:rPr>
          <w:lang w:val="sr-Cyrl-RS"/>
        </w:rPr>
        <w:t>61/05, 107/09, 78/11, 68/15, 95/18, 91/19 и 149/20</w:t>
      </w:r>
      <w:r w:rsidRPr="00E9627E">
        <w:rPr>
          <w:lang w:val="sr-Cyrl-RS"/>
        </w:rPr>
        <w:t>) према којој Народна скупштина одлучује о задуживању Републике Србије</w:t>
      </w:r>
      <w:r w:rsidR="000B1A47" w:rsidRPr="00E9627E">
        <w:rPr>
          <w:noProof/>
          <w:lang w:val="sr-Cyrl-RS"/>
        </w:rPr>
        <w:t>.</w:t>
      </w:r>
    </w:p>
    <w:p w14:paraId="4A496428" w14:textId="05EE0755" w:rsidR="003C7EB7" w:rsidRPr="00E9627E" w:rsidRDefault="003C7EB7" w:rsidP="003C7EB7">
      <w:pPr>
        <w:tabs>
          <w:tab w:val="left" w:pos="720"/>
        </w:tabs>
        <w:jc w:val="both"/>
        <w:rPr>
          <w:noProof/>
          <w:lang w:val="sr-Cyrl-RS"/>
        </w:rPr>
      </w:pPr>
      <w:r w:rsidRPr="00E9627E">
        <w:rPr>
          <w:noProof/>
          <w:lang w:val="sr-Cyrl-RS"/>
        </w:rPr>
        <w:tab/>
        <w:t xml:space="preserve">Саобраћајница од Појата до Прељине („Моравски коридор”) је једна од најзначајнијих саобраћајница јер повезује централне делове Републике Србије са два најважнија путна правца Коридором 10 и 11. Изградњом ове саобраћајнице биће повећана доступност општинским центрима, привредним зонама и туристичким дестинацијама. Будући аутопут биће изграђен на постојећој траси државног пута првог реда М-5 и повезиваће сва већа насељена места у региону: Ћићевац, Сталаћ, Крушевац, Трстеник, Врњачку Бању, Краљево и Чачак. </w:t>
      </w:r>
    </w:p>
    <w:p w14:paraId="7C94417F" w14:textId="77777777" w:rsidR="003C7EB7" w:rsidRPr="00E9627E" w:rsidRDefault="003C7EB7" w:rsidP="003C7EB7">
      <w:pPr>
        <w:tabs>
          <w:tab w:val="left" w:pos="720"/>
        </w:tabs>
        <w:jc w:val="both"/>
        <w:rPr>
          <w:noProof/>
          <w:lang w:val="sr-Cyrl-RS"/>
        </w:rPr>
      </w:pPr>
      <w:r w:rsidRPr="00E9627E">
        <w:rPr>
          <w:noProof/>
          <w:lang w:val="sr-Cyrl-RS"/>
        </w:rPr>
        <w:tab/>
        <w:t>Моравски коридор је од изузетног стратешког значаја за Републику Србију, како за повезивање и већу мобилност унутар Републике Србије, тако и због регионалног значаја. Ефекти који се очекују од изградње Моравског коридора биће праћени кроз следеће показатеље: побољшање приступа и повезивања делова Републике Србије са међународним саобраћајним коридорима (10 и 11); позитивне ефекате који се огледају кроз временске уштеде, снижавање трошкова транспорта и побољшања приступачности, као последично повећање безбедности саобраћаја на целокупној мрежи аутопутева у Србији; значајан додатни позитивнан ефекат на саобраћајне токове и регионалну повезаност што ће за резултат имати већи приход у буџет Републике Србије и интензивирање комерцијалних активности на изграђеним путним токовима.</w:t>
      </w:r>
    </w:p>
    <w:p w14:paraId="2CB24EED" w14:textId="5EA1B12D" w:rsidR="00021E35" w:rsidRPr="00E9627E" w:rsidRDefault="003C7EB7" w:rsidP="003C7EB7">
      <w:pPr>
        <w:tabs>
          <w:tab w:val="left" w:pos="720"/>
        </w:tabs>
        <w:jc w:val="both"/>
        <w:rPr>
          <w:bCs/>
          <w:lang w:val="sr-Cyrl-RS"/>
        </w:rPr>
      </w:pPr>
      <w:r w:rsidRPr="00E9627E">
        <w:rPr>
          <w:noProof/>
          <w:lang w:val="sr-Cyrl-RS"/>
        </w:rPr>
        <w:tab/>
        <w:t>Очекује се да ће повећање конкурентности привреде дела Републике Србије који ће се Моравским коридором повезати са међународним саобраћајним коридорима бити праћено кроз индикаторе привредног и друштвеног развоја повезаних локалних самоуправа (на пример, повећање вредности БДП, повећање броја нових привредних субјеката, развој туризма и слично).</w:t>
      </w:r>
      <w:r w:rsidR="00E405FA" w:rsidRPr="00E9627E">
        <w:rPr>
          <w:lang w:val="sr-Cyrl-RS"/>
        </w:rPr>
        <w:tab/>
      </w:r>
    </w:p>
    <w:p w14:paraId="7DF27DD5" w14:textId="4EEC838B" w:rsidR="003C7EB7" w:rsidRPr="00E9627E" w:rsidRDefault="00021E35" w:rsidP="003C7EB7">
      <w:pPr>
        <w:tabs>
          <w:tab w:val="left" w:pos="720"/>
        </w:tabs>
        <w:jc w:val="both"/>
        <w:rPr>
          <w:bCs/>
          <w:color w:val="000000"/>
          <w:lang w:val="sr-Cyrl-RS"/>
        </w:rPr>
      </w:pPr>
      <w:r w:rsidRPr="00E9627E">
        <w:rPr>
          <w:bCs/>
          <w:color w:val="000000"/>
          <w:lang w:val="sr-Cyrl-RS"/>
        </w:rPr>
        <w:tab/>
      </w:r>
      <w:r w:rsidR="003C7EB7" w:rsidRPr="00E9627E">
        <w:rPr>
          <w:bCs/>
          <w:color w:val="000000"/>
          <w:lang w:val="sr-Cyrl-RS"/>
        </w:rPr>
        <w:t>Комерцијални уговор о Пројекту изградње аутопута Е-761, деоница Појате-Прељина („Моравски коридор”) закључен је 5. децембра 2019. године између Владе Републике Србије, „Коридори Србије” д.о.о. Београд и Bechtel Enka UK Limited, Огранак Београд.</w:t>
      </w:r>
      <w:r w:rsidR="003C7EB7" w:rsidRPr="00E9627E">
        <w:rPr>
          <w:lang w:val="sr-Cyrl-RS"/>
        </w:rPr>
        <w:t xml:space="preserve"> </w:t>
      </w:r>
      <w:r w:rsidR="003C7EB7" w:rsidRPr="00E9627E">
        <w:rPr>
          <w:bCs/>
          <w:color w:val="000000"/>
          <w:lang w:val="sr-Cyrl-RS"/>
        </w:rPr>
        <w:t>Укупна дужина Моравског коридора је око 110 km, од чега:</w:t>
      </w:r>
    </w:p>
    <w:p w14:paraId="5AD2509C" w14:textId="77777777" w:rsidR="003C7EB7" w:rsidRPr="00E9627E" w:rsidRDefault="003C7EB7" w:rsidP="003C7EB7">
      <w:pPr>
        <w:tabs>
          <w:tab w:val="left" w:pos="720"/>
        </w:tabs>
        <w:jc w:val="both"/>
        <w:rPr>
          <w:bCs/>
          <w:color w:val="000000"/>
          <w:lang w:val="sr-Cyrl-RS"/>
        </w:rPr>
      </w:pPr>
      <w:r w:rsidRPr="00E9627E">
        <w:rPr>
          <w:bCs/>
          <w:color w:val="000000"/>
          <w:lang w:val="sr-Cyrl-RS"/>
        </w:rPr>
        <w:lastRenderedPageBreak/>
        <w:tab/>
        <w:t>1. Појате-Крушевац (Кошеви): 26,5 km;</w:t>
      </w:r>
    </w:p>
    <w:p w14:paraId="516B50CE" w14:textId="77777777" w:rsidR="003C7EB7" w:rsidRPr="00E9627E" w:rsidRDefault="003C7EB7" w:rsidP="003C7EB7">
      <w:pPr>
        <w:tabs>
          <w:tab w:val="left" w:pos="720"/>
        </w:tabs>
        <w:jc w:val="both"/>
        <w:rPr>
          <w:bCs/>
          <w:color w:val="000000"/>
          <w:lang w:val="sr-Cyrl-RS"/>
        </w:rPr>
      </w:pPr>
      <w:r w:rsidRPr="00E9627E">
        <w:rPr>
          <w:bCs/>
          <w:color w:val="000000"/>
          <w:lang w:val="sr-Cyrl-RS"/>
        </w:rPr>
        <w:tab/>
        <w:t>2. Крушевац (Кошеви) - Адрани: 53 km;</w:t>
      </w:r>
    </w:p>
    <w:p w14:paraId="187F1254" w14:textId="1D07CA67" w:rsidR="003C7EB7" w:rsidRPr="00E9627E" w:rsidRDefault="003C7EB7" w:rsidP="003C7EB7">
      <w:pPr>
        <w:tabs>
          <w:tab w:val="left" w:pos="720"/>
        </w:tabs>
        <w:jc w:val="both"/>
        <w:rPr>
          <w:bCs/>
          <w:color w:val="000000"/>
          <w:lang w:val="sr-Cyrl-RS"/>
        </w:rPr>
      </w:pPr>
      <w:r w:rsidRPr="00E9627E">
        <w:rPr>
          <w:bCs/>
          <w:color w:val="000000"/>
          <w:lang w:val="sr-Cyrl-RS"/>
        </w:rPr>
        <w:tab/>
        <w:t>3. Адрани-Мрчајевци и Мрчајевци-Прељина: 30,6 km.</w:t>
      </w:r>
      <w:r w:rsidRPr="00E9627E">
        <w:rPr>
          <w:bCs/>
          <w:color w:val="000000"/>
          <w:lang w:val="sr-Cyrl-RS"/>
        </w:rPr>
        <w:tab/>
      </w:r>
    </w:p>
    <w:p w14:paraId="4A8D83A4" w14:textId="77777777" w:rsidR="003C7EB7" w:rsidRPr="00E9627E" w:rsidRDefault="003C7EB7" w:rsidP="003C7EB7">
      <w:pPr>
        <w:tabs>
          <w:tab w:val="left" w:pos="720"/>
        </w:tabs>
        <w:jc w:val="both"/>
        <w:rPr>
          <w:bCs/>
          <w:color w:val="000000"/>
          <w:lang w:val="sr-Cyrl-RS"/>
        </w:rPr>
      </w:pPr>
    </w:p>
    <w:p w14:paraId="29914B63" w14:textId="75BE87D5" w:rsidR="0068485A" w:rsidRPr="00E9627E" w:rsidRDefault="0068485A" w:rsidP="0068485A">
      <w:pPr>
        <w:ind w:firstLine="708"/>
        <w:jc w:val="both"/>
        <w:rPr>
          <w:bCs/>
          <w:lang w:val="sr-Cyrl-RS"/>
        </w:rPr>
      </w:pPr>
      <w:r w:rsidRPr="00E9627E">
        <w:rPr>
          <w:bCs/>
          <w:lang w:val="sr-Cyrl-RS"/>
        </w:rPr>
        <w:t>Законом о буџету Републике Србије за 2025. годину („Службени гласник РС”, број 94/24) у члану 3. предвиђено је задуживање Републике Србије код страних инвестиционих корпорација, фондова и банака у износу до 300.000.000 Е</w:t>
      </w:r>
      <w:r w:rsidR="00505903" w:rsidRPr="00E9627E">
        <w:rPr>
          <w:bCs/>
          <w:lang w:val="sr-Cyrl-RS"/>
        </w:rPr>
        <w:t>UR</w:t>
      </w:r>
      <w:r w:rsidRPr="00E9627E">
        <w:rPr>
          <w:bCs/>
          <w:lang w:val="sr-Cyrl-RS"/>
        </w:rPr>
        <w:t xml:space="preserve"> за финансирање Пројекта изградње аутопута Е-761, деоница Појате-Прељина који се односи на необезбеђени зајам до износа од 260.000.000 евра уз гаранцију UKEF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Појате-Прељина (Моравски Коридор).</w:t>
      </w:r>
    </w:p>
    <w:p w14:paraId="03DFFB69" w14:textId="5FA07B86" w:rsidR="003C7EB7" w:rsidRPr="00E9627E" w:rsidRDefault="003C7EB7" w:rsidP="003C7EB7">
      <w:pPr>
        <w:autoSpaceDE w:val="0"/>
        <w:autoSpaceDN w:val="0"/>
        <w:adjustRightInd w:val="0"/>
        <w:ind w:firstLine="720"/>
        <w:jc w:val="both"/>
        <w:rPr>
          <w:bCs/>
          <w:color w:val="000000"/>
          <w:lang w:val="sr-Cyrl-RS"/>
        </w:rPr>
      </w:pPr>
      <w:r w:rsidRPr="00E9627E">
        <w:rPr>
          <w:bCs/>
          <w:color w:val="000000"/>
          <w:lang w:val="sr-Cyrl-RS"/>
        </w:rPr>
        <w:t xml:space="preserve">Закључком Владе 05 Број: 48-8178/2025 од 24. јула 2025. године усвојена Oснова за вођење преговора са JP Morgan Chasе, National Association, London Branch у вези са одобравањем додатног финансирања за Пројекат изградње инфраструктурног коридора ауто-пута Е-761, деоница Појате-Крушевац-Адрани-Прељина (Чачак), са регулацијом река и изградњом телекомуникационе инфраструктуре дуж коридора ауто-пута - „Моравски коридор” уз подршку Извозне кредитне агенције Уједињеног Краљевства, одређен састав делегације Републике Србије за вођење преговора и усвајен Нацрт писма о ангажовању, у вези са одобравањем додатног финансирања пројекта изградње ауто-пута Е–761 (Моравски коридор) уз подршку Извозне кредитне агенције Уједињеног Краљевства (UKEF). </w:t>
      </w:r>
    </w:p>
    <w:p w14:paraId="6F64328F" w14:textId="77777777" w:rsidR="003C7EB7" w:rsidRPr="00E9627E" w:rsidRDefault="003C7EB7" w:rsidP="003C7EB7">
      <w:pPr>
        <w:autoSpaceDE w:val="0"/>
        <w:autoSpaceDN w:val="0"/>
        <w:adjustRightInd w:val="0"/>
        <w:ind w:firstLine="720"/>
        <w:jc w:val="both"/>
        <w:rPr>
          <w:bCs/>
          <w:color w:val="000000"/>
          <w:lang w:val="sr-Cyrl-RS"/>
        </w:rPr>
      </w:pPr>
      <w:r w:rsidRPr="00E9627E">
        <w:rPr>
          <w:bCs/>
          <w:color w:val="000000"/>
          <w:lang w:val="sr-Cyrl-RS"/>
        </w:rPr>
        <w:t>Писмом о ангажовању између Републике Србије и JP Morgan Chasе, N.A., London Branch одређују се услови под којима се JP Morgan Chasе, N.A., London Branch ангажује од стране Републике Србије ради обезбеђења финансирања набавке роба и услуга ради реализације дела Пројекта.</w:t>
      </w:r>
    </w:p>
    <w:p w14:paraId="71F48950" w14:textId="60DAC816" w:rsidR="003C7EB7" w:rsidRPr="00E9627E" w:rsidRDefault="003C7EB7" w:rsidP="003C7EB7">
      <w:pPr>
        <w:autoSpaceDE w:val="0"/>
        <w:autoSpaceDN w:val="0"/>
        <w:adjustRightInd w:val="0"/>
        <w:ind w:firstLine="720"/>
        <w:jc w:val="both"/>
        <w:rPr>
          <w:bCs/>
          <w:color w:val="000000"/>
          <w:lang w:val="sr-Cyrl-RS"/>
        </w:rPr>
      </w:pPr>
      <w:r w:rsidRPr="00E9627E">
        <w:rPr>
          <w:bCs/>
          <w:color w:val="000000"/>
          <w:lang w:val="sr-Cyrl-RS"/>
        </w:rPr>
        <w:t>Наведеним писмом предложени су кредитни услови који су прихватљиви са становишта буџетских могућности Републике Србије за уредно сервисирање обавеза које ће преузети на основу будућег кредитног уговора. Предметно писмо потписано је 28. јула 2025. године.</w:t>
      </w:r>
    </w:p>
    <w:p w14:paraId="5BA48FF0" w14:textId="38055B26" w:rsidR="00E405FA" w:rsidRDefault="003C7EB7" w:rsidP="003C7EB7">
      <w:pPr>
        <w:autoSpaceDE w:val="0"/>
        <w:autoSpaceDN w:val="0"/>
        <w:adjustRightInd w:val="0"/>
        <w:ind w:firstLine="720"/>
        <w:jc w:val="both"/>
        <w:rPr>
          <w:bCs/>
          <w:lang w:val="sr-Cyrl-RS"/>
        </w:rPr>
      </w:pPr>
      <w:r w:rsidRPr="00E9627E">
        <w:rPr>
          <w:bCs/>
          <w:color w:val="000000"/>
          <w:lang w:val="sr-Cyrl-RS"/>
        </w:rPr>
        <w:t>Ради наставка реализације овог стратешки значајног инфраструктурног пројекта и обезбеђивања преосталог износа финансирања подржаног од стране UKEF, а ради закључивања новог кредитног аранжмана, вођени су преговори уговорних страна.</w:t>
      </w:r>
      <w:r w:rsidR="00E405FA" w:rsidRPr="00E9627E">
        <w:rPr>
          <w:lang w:val="sr-Cyrl-RS"/>
        </w:rPr>
        <w:t xml:space="preserve">Преговори у вези са наведеним финансирањем одржавали су се </w:t>
      </w:r>
      <w:r w:rsidR="00E405FA" w:rsidRPr="00E9627E">
        <w:rPr>
          <w:bCs/>
          <w:lang w:val="sr-Cyrl-RS"/>
        </w:rPr>
        <w:t xml:space="preserve">путем </w:t>
      </w:r>
      <w:r w:rsidR="00E405FA" w:rsidRPr="00E9627E">
        <w:rPr>
          <w:lang w:val="sr-Cyrl-RS"/>
        </w:rPr>
        <w:t>аудио-видео комуникације са представницима уговорних страна, што је резултирало договором о условима и начину коришћења зајма, као и мерама и активностима које су спроведене или се предузимају, како би се испунили услови за коришћење средстава зајма</w:t>
      </w:r>
      <w:r w:rsidR="00E405FA" w:rsidRPr="00E9627E">
        <w:rPr>
          <w:bCs/>
          <w:lang w:val="sr-Cyrl-RS"/>
        </w:rPr>
        <w:t>.</w:t>
      </w:r>
    </w:p>
    <w:p w14:paraId="769CF4D4" w14:textId="77777777" w:rsidR="00197B43" w:rsidRPr="00A56612" w:rsidRDefault="00197B43" w:rsidP="00197B43">
      <w:pPr>
        <w:autoSpaceDE w:val="0"/>
        <w:autoSpaceDN w:val="0"/>
        <w:adjustRightInd w:val="0"/>
        <w:ind w:firstLine="720"/>
        <w:jc w:val="both"/>
        <w:rPr>
          <w:bCs/>
          <w:lang w:val="sr-Cyrl-RS"/>
        </w:rPr>
      </w:pPr>
      <w:r w:rsidRPr="00A56612">
        <w:rPr>
          <w:bCs/>
          <w:lang w:val="sr-Cyrl-RS"/>
        </w:rPr>
        <w:t>Закључком Владе 05 Број: 48-11</w:t>
      </w:r>
      <w:r>
        <w:rPr>
          <w:bCs/>
          <w:lang w:val="sr-Latn-RS"/>
        </w:rPr>
        <w:t>577</w:t>
      </w:r>
      <w:r w:rsidRPr="00A56612">
        <w:rPr>
          <w:bCs/>
          <w:lang w:val="sr-Cyrl-RS"/>
        </w:rPr>
        <w:t>/2025-1 од 24. октобра 2025. године,</w:t>
      </w:r>
      <w:r>
        <w:rPr>
          <w:bCs/>
          <w:lang w:val="sr-Latn-RS"/>
        </w:rPr>
        <w:t xml:space="preserve"> </w:t>
      </w:r>
      <w:r>
        <w:rPr>
          <w:bCs/>
          <w:lang w:val="sr-Cyrl-RS"/>
        </w:rPr>
        <w:t xml:space="preserve">прихваћен је Извештај са преговора са </w:t>
      </w:r>
      <w:r w:rsidRPr="00A56612">
        <w:rPr>
          <w:bCs/>
        </w:rPr>
        <w:t>JP Morgan Chase Bank, N. A., London Branch</w:t>
      </w:r>
      <w:r>
        <w:rPr>
          <w:bCs/>
          <w:lang w:val="sr-Cyrl-RS"/>
        </w:rPr>
        <w:t xml:space="preserve"> и усвојен је </w:t>
      </w:r>
      <w:proofErr w:type="spellStart"/>
      <w:r w:rsidRPr="00A56612">
        <w:rPr>
          <w:bCs/>
        </w:rPr>
        <w:t>Нацрт</w:t>
      </w:r>
      <w:proofErr w:type="spellEnd"/>
      <w:r w:rsidRPr="00A56612">
        <w:rPr>
          <w:bCs/>
        </w:rPr>
        <w:t xml:space="preserve"> </w:t>
      </w:r>
      <w:proofErr w:type="spellStart"/>
      <w:r w:rsidRPr="00A56612">
        <w:rPr>
          <w:bCs/>
        </w:rPr>
        <w:t>уговора</w:t>
      </w:r>
      <w:proofErr w:type="spellEnd"/>
      <w:r w:rsidRPr="00A56612">
        <w:rPr>
          <w:bCs/>
        </w:rPr>
        <w:t xml:space="preserve"> о </w:t>
      </w:r>
      <w:proofErr w:type="spellStart"/>
      <w:r w:rsidRPr="00A56612">
        <w:rPr>
          <w:bCs/>
        </w:rPr>
        <w:t>кредитном</w:t>
      </w:r>
      <w:proofErr w:type="spellEnd"/>
      <w:r w:rsidRPr="00A56612">
        <w:rPr>
          <w:bCs/>
        </w:rPr>
        <w:t xml:space="preserve"> </w:t>
      </w:r>
      <w:proofErr w:type="spellStart"/>
      <w:r w:rsidRPr="00A56612">
        <w:rPr>
          <w:bCs/>
        </w:rPr>
        <w:t>аранжману</w:t>
      </w:r>
      <w:proofErr w:type="spellEnd"/>
      <w:r>
        <w:rPr>
          <w:bCs/>
          <w:lang w:val="sr-Cyrl-RS"/>
        </w:rPr>
        <w:t xml:space="preserve">, </w:t>
      </w:r>
      <w:r w:rsidRPr="00A56612">
        <w:rPr>
          <w:bCs/>
          <w:lang w:val="sr-Cyrl-RS"/>
        </w:rPr>
        <w:t xml:space="preserve">што је резултирало потписивањем </w:t>
      </w:r>
      <w:r>
        <w:rPr>
          <w:bCs/>
          <w:lang w:val="sr-Cyrl-RS"/>
        </w:rPr>
        <w:t>Уговора о кредитном аранжману.</w:t>
      </w:r>
    </w:p>
    <w:p w14:paraId="5332C766" w14:textId="77777777" w:rsidR="00121A77" w:rsidRPr="00E9627E" w:rsidRDefault="00121A77" w:rsidP="00A41CCE">
      <w:pPr>
        <w:ind w:firstLine="708"/>
        <w:jc w:val="both"/>
        <w:rPr>
          <w:bCs/>
          <w:lang w:val="sr-Cyrl-RS"/>
        </w:rPr>
      </w:pPr>
      <w:r w:rsidRPr="00E9627E">
        <w:rPr>
          <w:bCs/>
          <w:lang w:val="sr-Cyrl-RS"/>
        </w:rPr>
        <w:t>Финансијски услови на које се односи предметно задуживање наведени су како следи:</w:t>
      </w:r>
    </w:p>
    <w:p w14:paraId="03F0BDB9" w14:textId="77777777" w:rsidR="003C7EB7" w:rsidRPr="00E9627E" w:rsidRDefault="003C7EB7" w:rsidP="00505903">
      <w:pPr>
        <w:numPr>
          <w:ilvl w:val="0"/>
          <w:numId w:val="10"/>
        </w:numPr>
        <w:tabs>
          <w:tab w:val="left" w:pos="993"/>
        </w:tabs>
        <w:ind w:left="0" w:firstLine="709"/>
        <w:jc w:val="both"/>
        <w:rPr>
          <w:bCs/>
          <w:lang w:val="sr-Cyrl-RS"/>
        </w:rPr>
      </w:pPr>
      <w:r w:rsidRPr="00E9627E">
        <w:rPr>
          <w:bCs/>
          <w:lang w:val="sr-Cyrl-RS"/>
        </w:rPr>
        <w:t>износ кредита: до 260.000.000 евра;</w:t>
      </w:r>
    </w:p>
    <w:p w14:paraId="45AB0CD7" w14:textId="77777777" w:rsidR="003C7EB7" w:rsidRPr="00E9627E" w:rsidRDefault="003C7EB7" w:rsidP="00505903">
      <w:pPr>
        <w:numPr>
          <w:ilvl w:val="0"/>
          <w:numId w:val="10"/>
        </w:numPr>
        <w:tabs>
          <w:tab w:val="left" w:pos="993"/>
        </w:tabs>
        <w:ind w:left="0" w:firstLine="709"/>
        <w:jc w:val="both"/>
        <w:rPr>
          <w:bCs/>
          <w:lang w:val="sr-Cyrl-RS"/>
        </w:rPr>
      </w:pPr>
      <w:r w:rsidRPr="00E9627E">
        <w:rPr>
          <w:bCs/>
          <w:lang w:val="sr-Cyrl-RS"/>
        </w:rPr>
        <w:t>рок доспећа кредита: до 12 година укључујући и период почека од 2 године;</w:t>
      </w:r>
    </w:p>
    <w:p w14:paraId="4E187B82" w14:textId="77777777" w:rsidR="003C7EB7" w:rsidRPr="00E9627E" w:rsidRDefault="003C7EB7" w:rsidP="00505903">
      <w:pPr>
        <w:numPr>
          <w:ilvl w:val="0"/>
          <w:numId w:val="10"/>
        </w:numPr>
        <w:tabs>
          <w:tab w:val="left" w:pos="993"/>
        </w:tabs>
        <w:ind w:left="0" w:firstLine="709"/>
        <w:jc w:val="both"/>
        <w:rPr>
          <w:bCs/>
          <w:lang w:val="sr-Cyrl-RS"/>
        </w:rPr>
      </w:pPr>
      <w:r w:rsidRPr="00E9627E">
        <w:rPr>
          <w:bCs/>
          <w:lang w:val="sr-Cyrl-RS"/>
        </w:rPr>
        <w:t>период расположивости кредита: почиње ступањем на снагу Уговора о кредитном аранжману и траје до скоријег датума од (i) датума који пада 24 месеца након ступања на снагу Уговора о кредитном аранжману и (ii) датума на који су средства Уговора о кредитном аранжману у потпуности повучена или отказана;</w:t>
      </w:r>
    </w:p>
    <w:p w14:paraId="1C46F72E" w14:textId="77777777" w:rsidR="003C7EB7" w:rsidRPr="00E9627E" w:rsidRDefault="003C7EB7" w:rsidP="00505903">
      <w:pPr>
        <w:numPr>
          <w:ilvl w:val="0"/>
          <w:numId w:val="10"/>
        </w:numPr>
        <w:tabs>
          <w:tab w:val="left" w:pos="993"/>
        </w:tabs>
        <w:ind w:left="0" w:firstLine="709"/>
        <w:jc w:val="both"/>
        <w:rPr>
          <w:bCs/>
          <w:lang w:val="sr-Cyrl-RS"/>
        </w:rPr>
      </w:pPr>
      <w:r w:rsidRPr="00E9627E">
        <w:rPr>
          <w:bCs/>
          <w:lang w:val="sr-Cyrl-RS"/>
        </w:rPr>
        <w:t>каматна стопа: варијабилна стопа која се базира на 6М EURIBOR или некој другој стопи одређеној као Benchmark стопа за замену, увећаном за  фиксну маржу од 0,60% годишње;</w:t>
      </w:r>
    </w:p>
    <w:p w14:paraId="3DF72607" w14:textId="77777777" w:rsidR="003C7EB7" w:rsidRPr="00E9627E" w:rsidRDefault="003C7EB7" w:rsidP="00505903">
      <w:pPr>
        <w:numPr>
          <w:ilvl w:val="0"/>
          <w:numId w:val="10"/>
        </w:numPr>
        <w:tabs>
          <w:tab w:val="left" w:pos="993"/>
        </w:tabs>
        <w:ind w:left="0" w:firstLine="709"/>
        <w:jc w:val="both"/>
        <w:rPr>
          <w:bCs/>
          <w:lang w:val="sr-Cyrl-RS"/>
        </w:rPr>
      </w:pPr>
      <w:bookmarkStart w:id="0" w:name="_GoBack"/>
      <w:bookmarkEnd w:id="0"/>
      <w:r w:rsidRPr="00E9627E">
        <w:rPr>
          <w:bCs/>
          <w:lang w:val="sr-Cyrl-RS"/>
        </w:rPr>
        <w:t>провизија на неповучена средства: 40% износа марже која је наплатива полугодишње уназад током периода расположивости (и последњег дана периода расположивости) на неповучени износ кредита;</w:t>
      </w:r>
    </w:p>
    <w:p w14:paraId="18F4237E" w14:textId="77777777" w:rsidR="003C7EB7" w:rsidRPr="00E9627E" w:rsidRDefault="003C7EB7" w:rsidP="00505903">
      <w:pPr>
        <w:numPr>
          <w:ilvl w:val="0"/>
          <w:numId w:val="10"/>
        </w:numPr>
        <w:tabs>
          <w:tab w:val="left" w:pos="993"/>
        </w:tabs>
        <w:ind w:left="0" w:firstLine="709"/>
        <w:jc w:val="both"/>
        <w:rPr>
          <w:bCs/>
          <w:lang w:val="sr-Cyrl-RS"/>
        </w:rPr>
      </w:pPr>
      <w:r w:rsidRPr="00E9627E">
        <w:rPr>
          <w:bCs/>
          <w:lang w:val="sr-Cyrl-RS"/>
        </w:rPr>
        <w:t>зајмопримац: Република Србија коју заступа Влада Републике Србије преко Министарства финансија;</w:t>
      </w:r>
    </w:p>
    <w:p w14:paraId="690252C4" w14:textId="77777777" w:rsidR="003C7EB7" w:rsidRPr="00E9627E" w:rsidRDefault="003C7EB7" w:rsidP="00505903">
      <w:pPr>
        <w:numPr>
          <w:ilvl w:val="0"/>
          <w:numId w:val="10"/>
        </w:numPr>
        <w:tabs>
          <w:tab w:val="left" w:pos="993"/>
        </w:tabs>
        <w:ind w:left="0" w:firstLine="709"/>
        <w:jc w:val="both"/>
        <w:rPr>
          <w:bCs/>
          <w:lang w:val="sr-Cyrl-RS"/>
        </w:rPr>
      </w:pPr>
      <w:r w:rsidRPr="00E9627E">
        <w:rPr>
          <w:bCs/>
          <w:lang w:val="sr-Cyrl-RS"/>
        </w:rPr>
        <w:t>купац: привредно друштво „Коридори Србије” д.о.о, Београд.</w:t>
      </w:r>
    </w:p>
    <w:p w14:paraId="028E4EF2" w14:textId="77777777" w:rsidR="00A41CCE" w:rsidRPr="00E9627E" w:rsidRDefault="00A41CCE" w:rsidP="00BD25FC">
      <w:pPr>
        <w:ind w:firstLine="708"/>
        <w:jc w:val="both"/>
        <w:rPr>
          <w:bCs/>
          <w:lang w:val="sr-Cyrl-RS"/>
        </w:rPr>
      </w:pPr>
    </w:p>
    <w:p w14:paraId="2877514A" w14:textId="77777777" w:rsidR="00692046" w:rsidRPr="00E9627E" w:rsidRDefault="00692046" w:rsidP="004D2AAA">
      <w:pPr>
        <w:spacing w:after="120"/>
        <w:ind w:firstLine="720"/>
        <w:jc w:val="both"/>
        <w:rPr>
          <w:lang w:val="sr-Cyrl-RS"/>
        </w:rPr>
      </w:pPr>
      <w:r w:rsidRPr="00E9627E">
        <w:rPr>
          <w:lang w:val="sr-Cyrl-RS"/>
        </w:rPr>
        <w:t>III. ОБЈАШЊЕЊЕ ОСНОВНИХ ПРАВНИХ ИНСТИТУТА И ПОЈЕДИНАЧНИХ РЕШЕЊА</w:t>
      </w:r>
    </w:p>
    <w:p w14:paraId="04764048" w14:textId="56B2970A" w:rsidR="00692046" w:rsidRPr="00E9627E" w:rsidRDefault="00692046" w:rsidP="00692046">
      <w:pPr>
        <w:ind w:firstLine="720"/>
        <w:jc w:val="both"/>
        <w:rPr>
          <w:rFonts w:eastAsia="SimSun"/>
          <w:lang w:val="sr-Cyrl-RS"/>
        </w:rPr>
      </w:pPr>
      <w:r w:rsidRPr="00E9627E">
        <w:rPr>
          <w:lang w:val="sr-Cyrl-RS"/>
        </w:rPr>
        <w:t xml:space="preserve">Одредбом члана 1. </w:t>
      </w:r>
      <w:r w:rsidR="004D2AAA" w:rsidRPr="00E9627E">
        <w:rPr>
          <w:lang w:val="sr-Cyrl-RS"/>
        </w:rPr>
        <w:t xml:space="preserve">овог закона </w:t>
      </w:r>
      <w:r w:rsidRPr="00E9627E">
        <w:rPr>
          <w:lang w:val="sr-Cyrl-RS"/>
        </w:rPr>
        <w:t>предвиђа се потврђивање</w:t>
      </w:r>
      <w:r w:rsidR="00D34420" w:rsidRPr="00E9627E">
        <w:rPr>
          <w:lang w:val="sr-Cyrl-RS"/>
        </w:rPr>
        <w:t xml:space="preserve"> </w:t>
      </w:r>
      <w:r w:rsidR="004152A7" w:rsidRPr="00E9627E">
        <w:rPr>
          <w:bCs/>
          <w:lang w:val="sr-Cyrl-RS"/>
        </w:rPr>
        <w:t xml:space="preserve">Уговорa о </w:t>
      </w:r>
      <w:r w:rsidR="001549B9" w:rsidRPr="00E9627E">
        <w:rPr>
          <w:bCs/>
          <w:lang w:val="sr-Cyrl-RS"/>
        </w:rPr>
        <w:t>кредитном аранжману бр. 0020022188  који се односи на необезбеђени зајам до износа од 260.000.000 евра уз гаранцију UKEF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Појате-Прељина (Моравски коридор) између Републике Србије, коју заступа Влада Републике Србије, поступајући преко Министарства финансија, као Зајмопримца и J.P. Morgan SE, као Агентa и JPMorgan Chase Bank, N.A., London Branch, као Првобитног овлашћеног водећег аранжера и Crédit Agricole Corporate and Investment Bank и Ing Bank N.V.</w:t>
      </w:r>
      <w:r w:rsidR="00505903" w:rsidRPr="00E9627E">
        <w:rPr>
          <w:bCs/>
          <w:lang w:val="sr-Cyrl-RS"/>
        </w:rPr>
        <w:t>,</w:t>
      </w:r>
      <w:r w:rsidR="001549B9" w:rsidRPr="00E9627E">
        <w:rPr>
          <w:bCs/>
          <w:lang w:val="sr-Cyrl-RS"/>
        </w:rPr>
        <w:t xml:space="preserve"> као овлашћен</w:t>
      </w:r>
      <w:r w:rsidR="00D31D00" w:rsidRPr="00E9627E">
        <w:rPr>
          <w:bCs/>
          <w:lang w:val="sr-Cyrl-RS"/>
        </w:rPr>
        <w:t>их</w:t>
      </w:r>
      <w:r w:rsidR="001549B9" w:rsidRPr="00E9627E">
        <w:rPr>
          <w:bCs/>
          <w:lang w:val="sr-Cyrl-RS"/>
        </w:rPr>
        <w:t xml:space="preserve"> водећ</w:t>
      </w:r>
      <w:r w:rsidR="00D31D00" w:rsidRPr="00E9627E">
        <w:rPr>
          <w:bCs/>
          <w:lang w:val="sr-Cyrl-RS"/>
        </w:rPr>
        <w:t>их</w:t>
      </w:r>
      <w:r w:rsidR="001549B9" w:rsidRPr="00E9627E">
        <w:rPr>
          <w:bCs/>
          <w:lang w:val="sr-Cyrl-RS"/>
        </w:rPr>
        <w:t xml:space="preserve"> аранжера и Одређених других финансијских институција, као Првобитних зајмодаваца, који је потписан 27. октобра 2025. године</w:t>
      </w:r>
      <w:r w:rsidR="00746BDE" w:rsidRPr="00E9627E">
        <w:rPr>
          <w:lang w:val="sr-Cyrl-RS"/>
        </w:rPr>
        <w:t xml:space="preserve">, </w:t>
      </w:r>
      <w:r w:rsidRPr="00E9627E">
        <w:rPr>
          <w:rFonts w:eastAsia="SimSun"/>
          <w:lang w:val="sr-Cyrl-RS"/>
        </w:rPr>
        <w:t>у оригиналу на енглеском језику.</w:t>
      </w:r>
    </w:p>
    <w:p w14:paraId="478CBDB5" w14:textId="44F8763F" w:rsidR="00692046" w:rsidRPr="00E9627E" w:rsidRDefault="00692046" w:rsidP="00692046">
      <w:pPr>
        <w:ind w:firstLine="720"/>
        <w:jc w:val="both"/>
        <w:rPr>
          <w:lang w:val="sr-Cyrl-RS"/>
        </w:rPr>
      </w:pPr>
      <w:r w:rsidRPr="00E9627E">
        <w:rPr>
          <w:lang w:val="sr-Cyrl-RS"/>
        </w:rPr>
        <w:t xml:space="preserve"> Одредба члана 2. </w:t>
      </w:r>
      <w:r w:rsidR="004D2AAA" w:rsidRPr="00E9627E">
        <w:rPr>
          <w:lang w:val="sr-Cyrl-RS"/>
        </w:rPr>
        <w:t xml:space="preserve">овог закона </w:t>
      </w:r>
      <w:r w:rsidRPr="00E9627E">
        <w:rPr>
          <w:lang w:val="sr-Cyrl-RS"/>
        </w:rPr>
        <w:t xml:space="preserve">садржи текст </w:t>
      </w:r>
      <w:r w:rsidR="00BD25FC" w:rsidRPr="00E9627E">
        <w:rPr>
          <w:rFonts w:eastAsia="SimSun"/>
          <w:lang w:val="sr-Cyrl-RS" w:eastAsia="zh-CN"/>
        </w:rPr>
        <w:t xml:space="preserve">Уговора </w:t>
      </w:r>
      <w:r w:rsidR="004152A7" w:rsidRPr="00E9627E">
        <w:rPr>
          <w:bCs/>
          <w:lang w:val="sr-Cyrl-RS"/>
        </w:rPr>
        <w:t xml:space="preserve">о </w:t>
      </w:r>
      <w:r w:rsidR="001549B9" w:rsidRPr="00E9627E">
        <w:rPr>
          <w:bCs/>
          <w:lang w:val="sr-Cyrl-RS"/>
        </w:rPr>
        <w:t>кредитном аранжману бр. 0020022188  који се односи на необезбеђени зајам до износа од 260.000.000 евра уз гаранцију UKEF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Појате-Прељина (Моравски коридор) између Републике Србије, коју заступа Влада Републике Србије, поступајући преко Министарства финансија, као Зајмопримца и J.P. Morgan SE, као Агентa и JPMorgan Chase Bank, N.A., London Branch, као Првобитног овлашћеног водећег аранжера и Crédit Agricole Corporate and Investment Bank и Ing Bank N.V.</w:t>
      </w:r>
      <w:r w:rsidR="00505903" w:rsidRPr="00E9627E">
        <w:rPr>
          <w:bCs/>
          <w:lang w:val="sr-Cyrl-RS"/>
        </w:rPr>
        <w:t>,</w:t>
      </w:r>
      <w:r w:rsidR="001549B9" w:rsidRPr="00E9627E">
        <w:rPr>
          <w:bCs/>
          <w:lang w:val="sr-Cyrl-RS"/>
        </w:rPr>
        <w:t xml:space="preserve"> као овлашћен</w:t>
      </w:r>
      <w:r w:rsidR="00D31D00" w:rsidRPr="00E9627E">
        <w:rPr>
          <w:bCs/>
          <w:lang w:val="sr-Cyrl-RS"/>
        </w:rPr>
        <w:t>их</w:t>
      </w:r>
      <w:r w:rsidR="001549B9" w:rsidRPr="00E9627E">
        <w:rPr>
          <w:bCs/>
          <w:lang w:val="sr-Cyrl-RS"/>
        </w:rPr>
        <w:t xml:space="preserve"> водећ</w:t>
      </w:r>
      <w:r w:rsidR="00D31D00" w:rsidRPr="00E9627E">
        <w:rPr>
          <w:bCs/>
          <w:lang w:val="sr-Cyrl-RS"/>
        </w:rPr>
        <w:t>их</w:t>
      </w:r>
      <w:r w:rsidR="001549B9" w:rsidRPr="00E9627E">
        <w:rPr>
          <w:bCs/>
          <w:lang w:val="sr-Cyrl-RS"/>
        </w:rPr>
        <w:t xml:space="preserve"> аранжера и Одређених других финансијских институција, као Првобитних зајмодаваца, </w:t>
      </w:r>
      <w:r w:rsidRPr="00E9627E">
        <w:rPr>
          <w:lang w:val="sr-Cyrl-RS"/>
        </w:rPr>
        <w:t>у оригиналу на енглеском језику и у преводу на српски језик.</w:t>
      </w:r>
    </w:p>
    <w:p w14:paraId="7D56A164" w14:textId="77777777" w:rsidR="00692046" w:rsidRPr="00E9627E" w:rsidRDefault="00692046" w:rsidP="00692046">
      <w:pPr>
        <w:ind w:firstLine="720"/>
        <w:jc w:val="both"/>
        <w:rPr>
          <w:lang w:val="sr-Cyrl-RS"/>
        </w:rPr>
      </w:pPr>
      <w:r w:rsidRPr="00E9627E">
        <w:rPr>
          <w:lang w:val="sr-Cyrl-RS"/>
        </w:rPr>
        <w:t>Одредбом члана 3. уређује с</w:t>
      </w:r>
      <w:r w:rsidR="00BD25FC" w:rsidRPr="00E9627E">
        <w:rPr>
          <w:lang w:val="sr-Cyrl-RS"/>
        </w:rPr>
        <w:t>е ступање на снагу овог закона.</w:t>
      </w:r>
    </w:p>
    <w:p w14:paraId="7F7A74F5" w14:textId="77777777" w:rsidR="0070651E" w:rsidRPr="00E9627E" w:rsidRDefault="0070651E" w:rsidP="00692046">
      <w:pPr>
        <w:ind w:firstLine="720"/>
        <w:jc w:val="both"/>
        <w:rPr>
          <w:lang w:val="sr-Cyrl-RS"/>
        </w:rPr>
      </w:pPr>
    </w:p>
    <w:p w14:paraId="17E5D01F" w14:textId="77777777" w:rsidR="00692046" w:rsidRPr="00E9627E" w:rsidRDefault="00692046" w:rsidP="00692046">
      <w:pPr>
        <w:ind w:firstLine="720"/>
        <w:jc w:val="both"/>
        <w:rPr>
          <w:bCs/>
          <w:lang w:val="sr-Cyrl-RS"/>
        </w:rPr>
      </w:pPr>
      <w:r w:rsidRPr="00E9627E">
        <w:rPr>
          <w:bCs/>
          <w:lang w:val="sr-Cyrl-RS"/>
        </w:rPr>
        <w:t xml:space="preserve">IV. </w:t>
      </w:r>
      <w:r w:rsidR="004D2AAA" w:rsidRPr="00E9627E">
        <w:rPr>
          <w:lang w:val="sr-Cyrl-RS"/>
        </w:rPr>
        <w:t>ФИНАНСИЈСКЕ ОБАВЕЗЕ И ПРОЦЕНА ФИНАНСИЈСКИХ СРЕДСТАВА КОЈА НАСТАЈУ ИЗВРШАВАЊЕМ ЗАКОНА</w:t>
      </w:r>
    </w:p>
    <w:p w14:paraId="666DE524" w14:textId="77777777" w:rsidR="00692046" w:rsidRPr="00E9627E" w:rsidRDefault="00692046" w:rsidP="00692046">
      <w:pPr>
        <w:jc w:val="both"/>
        <w:rPr>
          <w:lang w:val="sr-Cyrl-RS"/>
        </w:rPr>
      </w:pPr>
    </w:p>
    <w:p w14:paraId="20FC728B" w14:textId="77777777" w:rsidR="00692046" w:rsidRPr="00E9627E" w:rsidRDefault="00692046" w:rsidP="00692046">
      <w:pPr>
        <w:jc w:val="both"/>
        <w:rPr>
          <w:lang w:val="sr-Cyrl-RS"/>
        </w:rPr>
      </w:pPr>
      <w:r w:rsidRPr="00E9627E">
        <w:rPr>
          <w:lang w:val="sr-Cyrl-RS"/>
        </w:rPr>
        <w:tab/>
        <w:t>За спровођење овог закона обезбеђиваће се средства у буџету Републике Србије.</w:t>
      </w:r>
    </w:p>
    <w:p w14:paraId="0FC2F785" w14:textId="77777777" w:rsidR="00692046" w:rsidRPr="00E9627E" w:rsidRDefault="00692046" w:rsidP="00692046">
      <w:pPr>
        <w:jc w:val="both"/>
        <w:rPr>
          <w:lang w:val="sr-Cyrl-RS"/>
        </w:rPr>
      </w:pPr>
    </w:p>
    <w:p w14:paraId="459E658F" w14:textId="77777777" w:rsidR="00B74EB0" w:rsidRPr="00E9627E" w:rsidRDefault="00B74EB0" w:rsidP="00692046">
      <w:pPr>
        <w:jc w:val="both"/>
        <w:rPr>
          <w:lang w:val="sr-Cyrl-RS"/>
        </w:rPr>
      </w:pPr>
    </w:p>
    <w:sectPr w:rsidR="00B74EB0" w:rsidRPr="00E9627E" w:rsidSect="0018155F">
      <w:headerReference w:type="even" r:id="rId7"/>
      <w:headerReference w:type="default" r:id="rId8"/>
      <w:footerReference w:type="even" r:id="rId9"/>
      <w:pgSz w:w="11909" w:h="16834" w:code="9"/>
      <w:pgMar w:top="1260" w:right="1289" w:bottom="1080" w:left="135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75709" w14:textId="77777777" w:rsidR="008F0904" w:rsidRDefault="008F0904">
      <w:r>
        <w:separator/>
      </w:r>
    </w:p>
  </w:endnote>
  <w:endnote w:type="continuationSeparator" w:id="0">
    <w:p w14:paraId="34413E7C" w14:textId="77777777" w:rsidR="008F0904" w:rsidRDefault="008F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A0B5E" w14:textId="77777777" w:rsidR="00726477" w:rsidRDefault="00726477" w:rsidP="00774B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82CE77" w14:textId="77777777" w:rsidR="00726477" w:rsidRDefault="0072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3B8D2" w14:textId="77777777" w:rsidR="008F0904" w:rsidRDefault="008F0904">
      <w:r>
        <w:separator/>
      </w:r>
    </w:p>
  </w:footnote>
  <w:footnote w:type="continuationSeparator" w:id="0">
    <w:p w14:paraId="6D4AC117" w14:textId="77777777" w:rsidR="008F0904" w:rsidRDefault="008F0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437FF" w14:textId="77777777" w:rsidR="00726477" w:rsidRDefault="00726477" w:rsidP="00062F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D53762" w14:textId="77777777" w:rsidR="00726477" w:rsidRDefault="007264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AE576" w14:textId="1C6A9034" w:rsidR="00726477" w:rsidRDefault="00726477" w:rsidP="004A33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97B43">
      <w:rPr>
        <w:rStyle w:val="PageNumber"/>
        <w:noProof/>
      </w:rPr>
      <w:t>3</w:t>
    </w:r>
    <w:r>
      <w:rPr>
        <w:rStyle w:val="PageNumber"/>
      </w:rPr>
      <w:fldChar w:fldCharType="end"/>
    </w:r>
  </w:p>
  <w:p w14:paraId="26D1C5B2" w14:textId="77777777" w:rsidR="00726477" w:rsidRDefault="0072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3" w15:restartNumberingAfterBreak="0">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024CFF"/>
    <w:multiLevelType w:val="hybridMultilevel"/>
    <w:tmpl w:val="DE46A94A"/>
    <w:lvl w:ilvl="0" w:tplc="903825BA">
      <w:numFmt w:val="bullet"/>
      <w:lvlText w:val="-"/>
      <w:lvlJc w:val="left"/>
      <w:pPr>
        <w:tabs>
          <w:tab w:val="num" w:pos="1680"/>
        </w:tabs>
        <w:ind w:left="1680" w:hanging="9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74B7C"/>
    <w:multiLevelType w:val="hybridMultilevel"/>
    <w:tmpl w:val="38ACA9F0"/>
    <w:lvl w:ilvl="0" w:tplc="54A240BA">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8"/>
  </w:num>
  <w:num w:numId="5">
    <w:abstractNumId w:val="3"/>
  </w:num>
  <w:num w:numId="6">
    <w:abstractNumId w:val="2"/>
  </w:num>
  <w:num w:numId="7">
    <w:abstractNumId w:val="6"/>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E17"/>
    <w:rsid w:val="00011082"/>
    <w:rsid w:val="00021E35"/>
    <w:rsid w:val="00032B9A"/>
    <w:rsid w:val="000437FA"/>
    <w:rsid w:val="00062F06"/>
    <w:rsid w:val="00064108"/>
    <w:rsid w:val="000821BE"/>
    <w:rsid w:val="000828FE"/>
    <w:rsid w:val="000934C3"/>
    <w:rsid w:val="0009350A"/>
    <w:rsid w:val="000A50DC"/>
    <w:rsid w:val="000A781B"/>
    <w:rsid w:val="000B0459"/>
    <w:rsid w:val="000B1A47"/>
    <w:rsid w:val="000B433B"/>
    <w:rsid w:val="000B4E48"/>
    <w:rsid w:val="000B53A9"/>
    <w:rsid w:val="000B70BA"/>
    <w:rsid w:val="000C1F4C"/>
    <w:rsid w:val="000C4E82"/>
    <w:rsid w:val="000D143F"/>
    <w:rsid w:val="000E05B7"/>
    <w:rsid w:val="00103B05"/>
    <w:rsid w:val="00113ACC"/>
    <w:rsid w:val="0011444A"/>
    <w:rsid w:val="00117CB4"/>
    <w:rsid w:val="00121A77"/>
    <w:rsid w:val="00122854"/>
    <w:rsid w:val="00126325"/>
    <w:rsid w:val="00137165"/>
    <w:rsid w:val="00144767"/>
    <w:rsid w:val="00147749"/>
    <w:rsid w:val="00153626"/>
    <w:rsid w:val="001549B9"/>
    <w:rsid w:val="001667F5"/>
    <w:rsid w:val="001767A8"/>
    <w:rsid w:val="0018155F"/>
    <w:rsid w:val="00194E3B"/>
    <w:rsid w:val="00197B43"/>
    <w:rsid w:val="001A3B02"/>
    <w:rsid w:val="001A6A09"/>
    <w:rsid w:val="001A7148"/>
    <w:rsid w:val="001A77EC"/>
    <w:rsid w:val="001B66FD"/>
    <w:rsid w:val="001C546D"/>
    <w:rsid w:val="001C5E2D"/>
    <w:rsid w:val="001E1C8B"/>
    <w:rsid w:val="001E418E"/>
    <w:rsid w:val="001E7107"/>
    <w:rsid w:val="001F1228"/>
    <w:rsid w:val="00204A89"/>
    <w:rsid w:val="002052E3"/>
    <w:rsid w:val="0022669F"/>
    <w:rsid w:val="00241C0E"/>
    <w:rsid w:val="00243DD8"/>
    <w:rsid w:val="00253453"/>
    <w:rsid w:val="00255BA5"/>
    <w:rsid w:val="0025659C"/>
    <w:rsid w:val="0025742D"/>
    <w:rsid w:val="00272201"/>
    <w:rsid w:val="00282F56"/>
    <w:rsid w:val="00286C70"/>
    <w:rsid w:val="00291078"/>
    <w:rsid w:val="002912F5"/>
    <w:rsid w:val="002978D5"/>
    <w:rsid w:val="002A19F2"/>
    <w:rsid w:val="002C140C"/>
    <w:rsid w:val="002C2746"/>
    <w:rsid w:val="002F1750"/>
    <w:rsid w:val="0030234C"/>
    <w:rsid w:val="00302F02"/>
    <w:rsid w:val="00305959"/>
    <w:rsid w:val="00316AB7"/>
    <w:rsid w:val="00321404"/>
    <w:rsid w:val="00321414"/>
    <w:rsid w:val="00322B7A"/>
    <w:rsid w:val="003234C8"/>
    <w:rsid w:val="00344F7E"/>
    <w:rsid w:val="003627B1"/>
    <w:rsid w:val="0037221F"/>
    <w:rsid w:val="00375309"/>
    <w:rsid w:val="0038219E"/>
    <w:rsid w:val="00384EA3"/>
    <w:rsid w:val="00387AD2"/>
    <w:rsid w:val="00394ADD"/>
    <w:rsid w:val="003B18F4"/>
    <w:rsid w:val="003B34BB"/>
    <w:rsid w:val="003C0CD0"/>
    <w:rsid w:val="003C2142"/>
    <w:rsid w:val="003C4052"/>
    <w:rsid w:val="003C7EB7"/>
    <w:rsid w:val="003E6854"/>
    <w:rsid w:val="003E6BA6"/>
    <w:rsid w:val="003F7B23"/>
    <w:rsid w:val="0040226C"/>
    <w:rsid w:val="00406A9D"/>
    <w:rsid w:val="0041332A"/>
    <w:rsid w:val="004152A7"/>
    <w:rsid w:val="00423BF8"/>
    <w:rsid w:val="0044672B"/>
    <w:rsid w:val="004651F6"/>
    <w:rsid w:val="00470AE5"/>
    <w:rsid w:val="00475346"/>
    <w:rsid w:val="00475C98"/>
    <w:rsid w:val="004771BB"/>
    <w:rsid w:val="00485D86"/>
    <w:rsid w:val="004A33F0"/>
    <w:rsid w:val="004A3461"/>
    <w:rsid w:val="004B0478"/>
    <w:rsid w:val="004B4959"/>
    <w:rsid w:val="004D2AAA"/>
    <w:rsid w:val="004E689B"/>
    <w:rsid w:val="00505903"/>
    <w:rsid w:val="00507384"/>
    <w:rsid w:val="00507842"/>
    <w:rsid w:val="005141EE"/>
    <w:rsid w:val="005233EB"/>
    <w:rsid w:val="00525E17"/>
    <w:rsid w:val="005330EB"/>
    <w:rsid w:val="00542F03"/>
    <w:rsid w:val="00543111"/>
    <w:rsid w:val="00547727"/>
    <w:rsid w:val="005532A5"/>
    <w:rsid w:val="0056231B"/>
    <w:rsid w:val="00562EF5"/>
    <w:rsid w:val="00562FA9"/>
    <w:rsid w:val="00564468"/>
    <w:rsid w:val="005667F8"/>
    <w:rsid w:val="00572EFC"/>
    <w:rsid w:val="00574BA1"/>
    <w:rsid w:val="005759C0"/>
    <w:rsid w:val="00584A3D"/>
    <w:rsid w:val="00590734"/>
    <w:rsid w:val="005937ED"/>
    <w:rsid w:val="00596B97"/>
    <w:rsid w:val="005A62CD"/>
    <w:rsid w:val="005A6EB5"/>
    <w:rsid w:val="005B33FA"/>
    <w:rsid w:val="005B7034"/>
    <w:rsid w:val="005B78AF"/>
    <w:rsid w:val="005C0446"/>
    <w:rsid w:val="005C442E"/>
    <w:rsid w:val="005C77BF"/>
    <w:rsid w:val="005D0A0B"/>
    <w:rsid w:val="005D4E8E"/>
    <w:rsid w:val="005F3A87"/>
    <w:rsid w:val="005F7752"/>
    <w:rsid w:val="00604F72"/>
    <w:rsid w:val="00606517"/>
    <w:rsid w:val="00612F27"/>
    <w:rsid w:val="006130E2"/>
    <w:rsid w:val="00621F25"/>
    <w:rsid w:val="00624117"/>
    <w:rsid w:val="0064720E"/>
    <w:rsid w:val="00654444"/>
    <w:rsid w:val="006610A8"/>
    <w:rsid w:val="006655D8"/>
    <w:rsid w:val="0068485A"/>
    <w:rsid w:val="0069053B"/>
    <w:rsid w:val="00692046"/>
    <w:rsid w:val="0069359B"/>
    <w:rsid w:val="006941D5"/>
    <w:rsid w:val="006961E3"/>
    <w:rsid w:val="006B24B3"/>
    <w:rsid w:val="006B2DE0"/>
    <w:rsid w:val="006B3D26"/>
    <w:rsid w:val="006B4040"/>
    <w:rsid w:val="006B496A"/>
    <w:rsid w:val="006B561D"/>
    <w:rsid w:val="006B6E0D"/>
    <w:rsid w:val="006C134E"/>
    <w:rsid w:val="006C32B0"/>
    <w:rsid w:val="006C3AB7"/>
    <w:rsid w:val="006C671B"/>
    <w:rsid w:val="006C6834"/>
    <w:rsid w:val="006E57BB"/>
    <w:rsid w:val="006E6033"/>
    <w:rsid w:val="006F005C"/>
    <w:rsid w:val="006F0436"/>
    <w:rsid w:val="006F05A6"/>
    <w:rsid w:val="006F1D87"/>
    <w:rsid w:val="0070299B"/>
    <w:rsid w:val="0070651E"/>
    <w:rsid w:val="007173D8"/>
    <w:rsid w:val="0072050A"/>
    <w:rsid w:val="00723279"/>
    <w:rsid w:val="00726477"/>
    <w:rsid w:val="00726BC7"/>
    <w:rsid w:val="00726F00"/>
    <w:rsid w:val="00740858"/>
    <w:rsid w:val="00740CB4"/>
    <w:rsid w:val="00746BDE"/>
    <w:rsid w:val="00756EEE"/>
    <w:rsid w:val="007603E0"/>
    <w:rsid w:val="00771254"/>
    <w:rsid w:val="00774BEC"/>
    <w:rsid w:val="007769D6"/>
    <w:rsid w:val="00790C88"/>
    <w:rsid w:val="00792FB6"/>
    <w:rsid w:val="00796DC0"/>
    <w:rsid w:val="007B14FA"/>
    <w:rsid w:val="007B3D13"/>
    <w:rsid w:val="007B3E59"/>
    <w:rsid w:val="007C3802"/>
    <w:rsid w:val="007C7AD3"/>
    <w:rsid w:val="007D3CBB"/>
    <w:rsid w:val="007E5871"/>
    <w:rsid w:val="007E7984"/>
    <w:rsid w:val="007F45DA"/>
    <w:rsid w:val="007F76C7"/>
    <w:rsid w:val="00812742"/>
    <w:rsid w:val="00815794"/>
    <w:rsid w:val="0083300B"/>
    <w:rsid w:val="00836B68"/>
    <w:rsid w:val="00845874"/>
    <w:rsid w:val="0085379B"/>
    <w:rsid w:val="008604C6"/>
    <w:rsid w:val="00862E50"/>
    <w:rsid w:val="00864A3D"/>
    <w:rsid w:val="00866F6D"/>
    <w:rsid w:val="00874CB0"/>
    <w:rsid w:val="00880F00"/>
    <w:rsid w:val="00884A19"/>
    <w:rsid w:val="00886CAD"/>
    <w:rsid w:val="00890B04"/>
    <w:rsid w:val="00890DFB"/>
    <w:rsid w:val="008A2893"/>
    <w:rsid w:val="008A40D8"/>
    <w:rsid w:val="008A5066"/>
    <w:rsid w:val="008B4ED3"/>
    <w:rsid w:val="008B4F87"/>
    <w:rsid w:val="008C220C"/>
    <w:rsid w:val="008C39C2"/>
    <w:rsid w:val="008C45A6"/>
    <w:rsid w:val="008D29F9"/>
    <w:rsid w:val="008E640C"/>
    <w:rsid w:val="008F0904"/>
    <w:rsid w:val="008F15A3"/>
    <w:rsid w:val="008F54A3"/>
    <w:rsid w:val="008F75BB"/>
    <w:rsid w:val="009014BF"/>
    <w:rsid w:val="009142C3"/>
    <w:rsid w:val="00923785"/>
    <w:rsid w:val="009327F0"/>
    <w:rsid w:val="009333FB"/>
    <w:rsid w:val="0093356B"/>
    <w:rsid w:val="00933B8D"/>
    <w:rsid w:val="00935EEF"/>
    <w:rsid w:val="00940CF7"/>
    <w:rsid w:val="0094174E"/>
    <w:rsid w:val="00947089"/>
    <w:rsid w:val="00947F14"/>
    <w:rsid w:val="0096620B"/>
    <w:rsid w:val="00966D91"/>
    <w:rsid w:val="00971431"/>
    <w:rsid w:val="0097521F"/>
    <w:rsid w:val="0098613B"/>
    <w:rsid w:val="00995A30"/>
    <w:rsid w:val="009A5A8F"/>
    <w:rsid w:val="009A781A"/>
    <w:rsid w:val="009B3000"/>
    <w:rsid w:val="009B79F9"/>
    <w:rsid w:val="009B7AAF"/>
    <w:rsid w:val="009C0011"/>
    <w:rsid w:val="009C0876"/>
    <w:rsid w:val="009C1B3F"/>
    <w:rsid w:val="009C2FD0"/>
    <w:rsid w:val="009C535A"/>
    <w:rsid w:val="009D3B96"/>
    <w:rsid w:val="009E43BE"/>
    <w:rsid w:val="009E66D1"/>
    <w:rsid w:val="009E6D0B"/>
    <w:rsid w:val="009F0496"/>
    <w:rsid w:val="009F3404"/>
    <w:rsid w:val="00A037E5"/>
    <w:rsid w:val="00A16918"/>
    <w:rsid w:val="00A1714E"/>
    <w:rsid w:val="00A24C0E"/>
    <w:rsid w:val="00A41CCE"/>
    <w:rsid w:val="00A56DC0"/>
    <w:rsid w:val="00A67B90"/>
    <w:rsid w:val="00AA5172"/>
    <w:rsid w:val="00AA5E8B"/>
    <w:rsid w:val="00AA7FD3"/>
    <w:rsid w:val="00AB114C"/>
    <w:rsid w:val="00AB1D87"/>
    <w:rsid w:val="00AC23DB"/>
    <w:rsid w:val="00AC319E"/>
    <w:rsid w:val="00AC6967"/>
    <w:rsid w:val="00AC6E28"/>
    <w:rsid w:val="00AD73DE"/>
    <w:rsid w:val="00AE0B32"/>
    <w:rsid w:val="00AE55C5"/>
    <w:rsid w:val="00AF05CC"/>
    <w:rsid w:val="00B01134"/>
    <w:rsid w:val="00B04E49"/>
    <w:rsid w:val="00B11D1A"/>
    <w:rsid w:val="00B15893"/>
    <w:rsid w:val="00B207D5"/>
    <w:rsid w:val="00B21F0D"/>
    <w:rsid w:val="00B31EEB"/>
    <w:rsid w:val="00B41779"/>
    <w:rsid w:val="00B41E3D"/>
    <w:rsid w:val="00B6096C"/>
    <w:rsid w:val="00B66D07"/>
    <w:rsid w:val="00B74EB0"/>
    <w:rsid w:val="00B772E5"/>
    <w:rsid w:val="00B8231A"/>
    <w:rsid w:val="00B82F2B"/>
    <w:rsid w:val="00B82F86"/>
    <w:rsid w:val="00B92820"/>
    <w:rsid w:val="00B92834"/>
    <w:rsid w:val="00B949C6"/>
    <w:rsid w:val="00BA558F"/>
    <w:rsid w:val="00BA7510"/>
    <w:rsid w:val="00BD25FC"/>
    <w:rsid w:val="00BE0FBD"/>
    <w:rsid w:val="00BE4ADF"/>
    <w:rsid w:val="00BF6BB4"/>
    <w:rsid w:val="00C06E8B"/>
    <w:rsid w:val="00C14179"/>
    <w:rsid w:val="00C161E1"/>
    <w:rsid w:val="00C21708"/>
    <w:rsid w:val="00C34AE3"/>
    <w:rsid w:val="00C454A1"/>
    <w:rsid w:val="00C54BEC"/>
    <w:rsid w:val="00C574E3"/>
    <w:rsid w:val="00C61288"/>
    <w:rsid w:val="00C645D8"/>
    <w:rsid w:val="00C65F77"/>
    <w:rsid w:val="00C661C9"/>
    <w:rsid w:val="00C8159D"/>
    <w:rsid w:val="00C8376C"/>
    <w:rsid w:val="00C847B1"/>
    <w:rsid w:val="00C90848"/>
    <w:rsid w:val="00C90E26"/>
    <w:rsid w:val="00C95A13"/>
    <w:rsid w:val="00CB0050"/>
    <w:rsid w:val="00CB11E2"/>
    <w:rsid w:val="00CB35A2"/>
    <w:rsid w:val="00CB387A"/>
    <w:rsid w:val="00CB391B"/>
    <w:rsid w:val="00CC1AE1"/>
    <w:rsid w:val="00CC41C3"/>
    <w:rsid w:val="00CC6AA7"/>
    <w:rsid w:val="00CC77B9"/>
    <w:rsid w:val="00CF1B02"/>
    <w:rsid w:val="00CF1BE2"/>
    <w:rsid w:val="00D03CA3"/>
    <w:rsid w:val="00D047EF"/>
    <w:rsid w:val="00D055F0"/>
    <w:rsid w:val="00D07955"/>
    <w:rsid w:val="00D31D00"/>
    <w:rsid w:val="00D34420"/>
    <w:rsid w:val="00D42C6F"/>
    <w:rsid w:val="00D57EE4"/>
    <w:rsid w:val="00D60D13"/>
    <w:rsid w:val="00D6104B"/>
    <w:rsid w:val="00D7163A"/>
    <w:rsid w:val="00D71C65"/>
    <w:rsid w:val="00D809EF"/>
    <w:rsid w:val="00DA3A35"/>
    <w:rsid w:val="00DD264B"/>
    <w:rsid w:val="00DE046C"/>
    <w:rsid w:val="00DF2E0D"/>
    <w:rsid w:val="00DF2F34"/>
    <w:rsid w:val="00DF3348"/>
    <w:rsid w:val="00DF6741"/>
    <w:rsid w:val="00E17FC0"/>
    <w:rsid w:val="00E219CE"/>
    <w:rsid w:val="00E3026C"/>
    <w:rsid w:val="00E322A1"/>
    <w:rsid w:val="00E376A0"/>
    <w:rsid w:val="00E40475"/>
    <w:rsid w:val="00E405FA"/>
    <w:rsid w:val="00E45A97"/>
    <w:rsid w:val="00E45C01"/>
    <w:rsid w:val="00E53694"/>
    <w:rsid w:val="00E62E9A"/>
    <w:rsid w:val="00E64495"/>
    <w:rsid w:val="00E77BF9"/>
    <w:rsid w:val="00E803F4"/>
    <w:rsid w:val="00E80D89"/>
    <w:rsid w:val="00E80F05"/>
    <w:rsid w:val="00E82B95"/>
    <w:rsid w:val="00E85227"/>
    <w:rsid w:val="00E85949"/>
    <w:rsid w:val="00E8762A"/>
    <w:rsid w:val="00E92AE5"/>
    <w:rsid w:val="00E93238"/>
    <w:rsid w:val="00E9627E"/>
    <w:rsid w:val="00EA60E5"/>
    <w:rsid w:val="00EC3998"/>
    <w:rsid w:val="00EC61DD"/>
    <w:rsid w:val="00EC73A1"/>
    <w:rsid w:val="00EE09D2"/>
    <w:rsid w:val="00EE585F"/>
    <w:rsid w:val="00EE6323"/>
    <w:rsid w:val="00EE6B63"/>
    <w:rsid w:val="00EF6FF3"/>
    <w:rsid w:val="00F00B5F"/>
    <w:rsid w:val="00F01185"/>
    <w:rsid w:val="00F332F8"/>
    <w:rsid w:val="00F333C3"/>
    <w:rsid w:val="00F62120"/>
    <w:rsid w:val="00F765C6"/>
    <w:rsid w:val="00F80E35"/>
    <w:rsid w:val="00F81A44"/>
    <w:rsid w:val="00F84AFF"/>
    <w:rsid w:val="00F86715"/>
    <w:rsid w:val="00F90C89"/>
    <w:rsid w:val="00F9113C"/>
    <w:rsid w:val="00F9386E"/>
    <w:rsid w:val="00FA4FE0"/>
    <w:rsid w:val="00FC1322"/>
    <w:rsid w:val="00FC6CBA"/>
    <w:rsid w:val="00FD0E68"/>
    <w:rsid w:val="00FE006C"/>
    <w:rsid w:val="00FE46FB"/>
    <w:rsid w:val="00FE755B"/>
    <w:rsid w:val="00FE7DB0"/>
    <w:rsid w:val="00FF66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D4181A"/>
  <w15:docId w15:val="{FB0C984A-1923-4AFC-875E-4CF368E4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References"/>
    <w:basedOn w:val="Normal"/>
    <w:link w:val="ListParagraphChar"/>
    <w:uiPriority w:val="34"/>
    <w:qFormat/>
    <w:rsid w:val="00DA3A35"/>
    <w:pPr>
      <w:ind w:left="720"/>
      <w:contextualSpacing/>
    </w:pPr>
  </w:style>
  <w:style w:type="character" w:customStyle="1" w:styleId="ListParagraphChar">
    <w:name w:val="List Paragraph Char"/>
    <w:aliases w:val="List Paragraph à moi Char,lista_2 Char,Számozott lista 1 Char,Eszeri felsorolás Char,Listaszerű bekezdés1 Char,List Paragraph1 Char,Welt L Char Char,Welt L Char1,Bullet List Char,FooterText Char,numbered Char,列出段落 Char,列出段落1 Char"/>
    <w:link w:val="ListParagraph"/>
    <w:uiPriority w:val="34"/>
    <w:qFormat/>
    <w:locked/>
    <w:rsid w:val="00884A19"/>
    <w:rPr>
      <w:sz w:val="24"/>
      <w:szCs w:val="24"/>
    </w:rPr>
  </w:style>
  <w:style w:type="paragraph" w:styleId="NoSpacing">
    <w:name w:val="No Spacing"/>
    <w:uiPriority w:val="1"/>
    <w:qFormat/>
    <w:rsid w:val="00322B7A"/>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651451632">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1376</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Daktilobiro07</cp:lastModifiedBy>
  <cp:revision>3</cp:revision>
  <cp:lastPrinted>2021-06-14T09:55:00Z</cp:lastPrinted>
  <dcterms:created xsi:type="dcterms:W3CDTF">2025-11-05T12:39:00Z</dcterms:created>
  <dcterms:modified xsi:type="dcterms:W3CDTF">2025-11-05T12:56:00Z</dcterms:modified>
</cp:coreProperties>
</file>